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Building Excellence Through People</w:t>
      </w:r>
    </w:p>
    <w:p>
      <w:pPr>
        <w:pStyle w:val="Subtitle"/>
      </w:pPr>
      <w:r>
        <w:t xml:space="preserve">A Leadership Framework for Instructional Design Teams</w:t>
      </w:r>
    </w:p>
    <w:p>
      <w:pPr>
        <w:spacing w:before="480" w:after="240"/>
        <w:jc w:val="center"/>
      </w:pPr>
      <w:r>
        <w:rPr>
          <w:b/>
          <w:bCs/>
          <w:sz w:val="28"/>
          <w:szCs w:val="28"/>
        </w:rPr>
        <w:t xml:space="preserve">Kim Lang</w:t>
      </w:r>
    </w:p>
    <w:p>
      <w:pPr>
        <w:spacing w:after="960"/>
        <w:jc w:val="center"/>
      </w:pPr>
      <w:r>
        <w:rPr>
          <w:i/>
          <w:iCs/>
          <w:sz w:val="24"/>
          <w:szCs w:val="24"/>
        </w:rPr>
        <w:t xml:space="preserve">Senior Manager of Instructional Design</w:t>
      </w:r>
    </w:p>
    <w:p>
      <w:r>
        <w:br w:type="page"/>
      </w:r>
    </w:p>
    <w:p>
      <w:pPr>
        <w:pStyle w:val="Heading1"/>
      </w:pPr>
      <w:r>
        <w:t xml:space="preserve">Leadership Philosophy</w:t>
      </w:r>
    </w:p>
    <w:p>
      <w:pPr>
        <w:spacing w:after="180"/>
      </w:pPr>
      <w:r>
        <w:t xml:space="preserve">My leadership approach centers on developing people, not just managing projects. I believe that exceptional instructional design emerges from teams that feel supported, challenged, and empowered to grow. This philosophy is built on four foundational principles:</w:t>
      </w:r>
    </w:p>
    <w:p>
      <w:pPr>
        <w:pStyle w:val="ListParagraph"/>
        <w:numPr>
          <w:ilvl w:val="0"/>
          <w:numId w:val="2"/>
        </w:numPr>
      </w:pPr>
      <w:r>
        <w:rPr>
          <w:b/>
          <w:bCs/>
        </w:rPr>
        <w:t xml:space="preserve">Mentorship as the Core of Leadership: </w:t>
      </w:r>
      <w:r>
        <w:t xml:space="preserve">Every designer has unique strengths and growth areas. My role is to help each team member identify these, develop actionable plans for improvement, and provide the resources and support they need to excel.</w:t>
      </w:r>
    </w:p>
    <w:p>
      <w:pPr>
        <w:pStyle w:val="ListParagraph"/>
        <w:numPr>
          <w:ilvl w:val="0"/>
          <w:numId w:val="2"/>
        </w:numPr>
      </w:pPr>
      <w:r>
        <w:rPr>
          <w:b/>
          <w:bCs/>
        </w:rPr>
        <w:t xml:space="preserve">Continuous Innovation and Learning: </w:t>
      </w:r>
      <w:r>
        <w:t xml:space="preserve">The instructional design field evolves rapidly, particularly with emerging technologies like AI. I encourage my team to stay current with industry trends, experiment with new tools and methodologies, and share knowledge across the organization.</w:t>
      </w:r>
    </w:p>
    <w:p>
      <w:pPr>
        <w:pStyle w:val="ListParagraph"/>
        <w:numPr>
          <w:ilvl w:val="0"/>
          <w:numId w:val="2"/>
        </w:numPr>
      </w:pPr>
      <w:r>
        <w:rPr>
          <w:b/>
          <w:bCs/>
        </w:rPr>
        <w:t xml:space="preserve">Self-Awareness and Professional Development: </w:t>
      </w:r>
      <w:r>
        <w:t xml:space="preserve">Designers who understand their strengths and weaknesses are better equipped to collaborate effectively and pursue meaningful growth. I help team members develop this self-awareness through regular feedback, reflective practice, and educational opportunities.</w:t>
      </w:r>
    </w:p>
    <w:p>
      <w:pPr>
        <w:pStyle w:val="ListParagraph"/>
        <w:numPr>
          <w:ilvl w:val="0"/>
          <w:numId w:val="2"/>
        </w:numPr>
        <w:spacing w:after="240"/>
      </w:pPr>
      <w:r>
        <w:rPr>
          <w:b/>
          <w:bCs/>
        </w:rPr>
        <w:t xml:space="preserve">Quality Through Systematic Process: </w:t>
      </w:r>
      <w:r>
        <w:t xml:space="preserve">Excellence in instructional design requires both creativity and rigor. I implement structured quality assurance processes that ensure consistency while respecting the unique voice and approach of each designer.</w:t>
      </w:r>
    </w:p>
    <w:p>
      <w:pPr>
        <w:pStyle w:val="Heading1"/>
      </w:pPr>
      <w:r>
        <w:t xml:space="preserve">Onboarding New Instructional Designers</w:t>
      </w:r>
    </w:p>
    <w:p>
      <w:pPr>
        <w:spacing w:after="180"/>
      </w:pPr>
      <w:r>
        <w:t xml:space="preserve">The first 90 days are critical in shaping a designer's success and integration into our team. My onboarding framework ensures new hires understand not just the technical requirements of their role, but how their work connects to organizational values and mission.</w:t>
      </w:r>
    </w:p>
    <w:p>
      <w:pPr>
        <w:pStyle w:val="Heading2"/>
      </w:pPr>
      <w:r>
        <w:t xml:space="preserve">Week 1-2: Foundation and Culture</w:t>
      </w:r>
    </w:p>
    <w:p>
      <w:pPr>
        <w:pStyle w:val="ListParagraph"/>
        <w:numPr>
          <w:ilvl w:val="0"/>
          <w:numId w:val="3"/>
        </w:numPr>
      </w:pPr>
      <w:r>
        <w:t xml:space="preserve">Introduction to organizational culture, values, and mission</w:t>
      </w:r>
    </w:p>
    <w:p>
      <w:pPr>
        <w:pStyle w:val="ListParagraph"/>
        <w:numPr>
          <w:ilvl w:val="0"/>
          <w:numId w:val="3"/>
        </w:numPr>
      </w:pPr>
      <w:r>
        <w:t xml:space="preserve">How instructional design reflects and reinforces organizational values</w:t>
      </w:r>
    </w:p>
    <w:p>
      <w:pPr>
        <w:pStyle w:val="ListParagraph"/>
        <w:numPr>
          <w:ilvl w:val="0"/>
          <w:numId w:val="3"/>
        </w:numPr>
      </w:pPr>
      <w:r>
        <w:t xml:space="preserve">Overview of current projects and team structure</w:t>
      </w:r>
    </w:p>
    <w:p>
      <w:pPr>
        <w:pStyle w:val="ListParagraph"/>
        <w:numPr>
          <w:ilvl w:val="0"/>
          <w:numId w:val="3"/>
        </w:numPr>
      </w:pPr>
      <w:r>
        <w:t xml:space="preserve">Assignment of peer mentor for day-to-day questions</w:t>
      </w:r>
    </w:p>
    <w:p>
      <w:pPr>
        <w:pStyle w:val="ListParagraph"/>
        <w:numPr>
          <w:ilvl w:val="0"/>
          <w:numId w:val="3"/>
        </w:numPr>
        <w:spacing w:after="180"/>
      </w:pPr>
      <w:r>
        <w:t xml:space="preserve">Access to tools, systems, and resources</w:t>
      </w:r>
    </w:p>
    <w:p>
      <w:pPr>
        <w:pStyle w:val="Heading2"/>
      </w:pPr>
      <w:r>
        <w:t xml:space="preserve">Week 3-6: Skills Assessment and Development</w:t>
      </w:r>
    </w:p>
    <w:p>
      <w:pPr>
        <w:pStyle w:val="ListParagraph"/>
        <w:numPr>
          <w:ilvl w:val="0"/>
          <w:numId w:val="3"/>
        </w:numPr>
      </w:pPr>
      <w:r>
        <w:t xml:space="preserve">Portfolio review to identify strengths and growth areas</w:t>
      </w:r>
    </w:p>
    <w:p>
      <w:pPr>
        <w:pStyle w:val="ListParagraph"/>
        <w:numPr>
          <w:ilvl w:val="0"/>
          <w:numId w:val="3"/>
        </w:numPr>
      </w:pPr>
      <w:r>
        <w:t xml:space="preserve">Introduction to quality assurance standards and processes</w:t>
      </w:r>
    </w:p>
    <w:p>
      <w:pPr>
        <w:pStyle w:val="ListParagraph"/>
        <w:numPr>
          <w:ilvl w:val="0"/>
          <w:numId w:val="3"/>
        </w:numPr>
      </w:pPr>
      <w:r>
        <w:t xml:space="preserve">First small project assignment with close mentorship</w:t>
      </w:r>
    </w:p>
    <w:p>
      <w:pPr>
        <w:pStyle w:val="ListParagraph"/>
        <w:numPr>
          <w:ilvl w:val="0"/>
          <w:numId w:val="3"/>
        </w:numPr>
      </w:pPr>
      <w:r>
        <w:t xml:space="preserve">Training on organizational design standards and templates</w:t>
      </w:r>
    </w:p>
    <w:p>
      <w:pPr>
        <w:pStyle w:val="ListParagraph"/>
        <w:numPr>
          <w:ilvl w:val="0"/>
          <w:numId w:val="3"/>
        </w:numPr>
        <w:spacing w:after="180"/>
      </w:pPr>
      <w:r>
        <w:t xml:space="preserve">Shadowing experienced designers during client meetings</w:t>
      </w:r>
    </w:p>
    <w:p>
      <w:pPr>
        <w:pStyle w:val="Heading2"/>
      </w:pPr>
      <w:r>
        <w:t xml:space="preserve">Week 7-12: Integration and Autonomy</w:t>
      </w:r>
    </w:p>
    <w:p>
      <w:pPr>
        <w:pStyle w:val="ListParagraph"/>
        <w:numPr>
          <w:ilvl w:val="0"/>
          <w:numId w:val="3"/>
        </w:numPr>
      </w:pPr>
      <w:r>
        <w:t xml:space="preserve">Assignment of independent projects with milestone check-ins</w:t>
      </w:r>
    </w:p>
    <w:p>
      <w:pPr>
        <w:pStyle w:val="ListParagraph"/>
        <w:numPr>
          <w:ilvl w:val="0"/>
          <w:numId w:val="3"/>
        </w:numPr>
      </w:pPr>
      <w:r>
        <w:t xml:space="preserve">Participation in team innovation sessions and peer reviews</w:t>
      </w:r>
    </w:p>
    <w:p>
      <w:pPr>
        <w:pStyle w:val="ListParagraph"/>
        <w:numPr>
          <w:ilvl w:val="0"/>
          <w:numId w:val="3"/>
        </w:numPr>
      </w:pPr>
      <w:r>
        <w:t xml:space="preserve">Development of personalized professional development plan</w:t>
      </w:r>
    </w:p>
    <w:p>
      <w:pPr>
        <w:pStyle w:val="ListParagraph"/>
        <w:numPr>
          <w:ilvl w:val="0"/>
          <w:numId w:val="3"/>
        </w:numPr>
      </w:pPr>
      <w:r>
        <w:t xml:space="preserve">End-of-probation review and goal setting for year ahead</w:t>
      </w:r>
    </w:p>
    <w:p>
      <w:pPr>
        <w:pStyle w:val="ListParagraph"/>
        <w:numPr>
          <w:ilvl w:val="0"/>
          <w:numId w:val="3"/>
        </w:numPr>
        <w:spacing w:after="240"/>
      </w:pPr>
      <w:r>
        <w:t xml:space="preserve">Introduction to emerging technologies (AI tools, new authoring platforms)</w:t>
      </w:r>
    </w:p>
    <w:p>
      <w:r>
        <w:br w:type="page"/>
      </w:r>
    </w:p>
    <w:p>
      <w:pPr>
        <w:pStyle w:val="Heading1"/>
      </w:pPr>
      <w:r>
        <w:t xml:space="preserve">Mentorship Approach</w:t>
      </w:r>
    </w:p>
    <w:p>
      <w:pPr>
        <w:spacing w:after="180"/>
      </w:pPr>
      <w:r>
        <w:t xml:space="preserve">Mentorship extends beyond onboarding to create a culture of continuous growth. I focus on three key areas where mentorship makes the greatest impact:</w:t>
      </w:r>
    </w:p>
    <w:p>
      <w:pPr>
        <w:pStyle w:val="Heading2"/>
      </w:pPr>
      <w:r>
        <w:t xml:space="preserve">Technology Adoption and Skill Building</w:t>
      </w:r>
    </w:p>
    <w:p>
      <w:pPr>
        <w:spacing w:after="120"/>
      </w:pPr>
      <w:r>
        <w:t xml:space="preserve">As new technologies emerge, particularly AI tools and advanced authoring platforms, designers need structured support to integrate these capabilities into their practice. My approach includes:</w:t>
      </w:r>
    </w:p>
    <w:p>
      <w:pPr>
        <w:pStyle w:val="ListParagraph"/>
        <w:numPr>
          <w:ilvl w:val="0"/>
          <w:numId w:val="3"/>
        </w:numPr>
      </w:pPr>
      <w:r>
        <w:t xml:space="preserve">Hands-on training sessions with new tools</w:t>
      </w:r>
    </w:p>
    <w:p>
      <w:pPr>
        <w:pStyle w:val="ListParagraph"/>
        <w:numPr>
          <w:ilvl w:val="0"/>
          <w:numId w:val="3"/>
        </w:numPr>
      </w:pPr>
      <w:r>
        <w:t xml:space="preserve">Real-world application projects that allow practice in safe environments</w:t>
      </w:r>
    </w:p>
    <w:p>
      <w:pPr>
        <w:pStyle w:val="ListParagraph"/>
        <w:numPr>
          <w:ilvl w:val="0"/>
          <w:numId w:val="3"/>
        </w:numPr>
      </w:pPr>
      <w:r>
        <w:t xml:space="preserve">Regular office hours for troubleshooting and advanced techniques</w:t>
      </w:r>
    </w:p>
    <w:p>
      <w:pPr>
        <w:pStyle w:val="ListParagraph"/>
        <w:numPr>
          <w:ilvl w:val="0"/>
          <w:numId w:val="3"/>
        </w:numPr>
        <w:spacing w:after="180"/>
      </w:pPr>
      <w:r>
        <w:t xml:space="preserve">Team knowledge-sharing sessions where designers demonstrate new capabilities</w:t>
      </w:r>
    </w:p>
    <w:p>
      <w:pPr>
        <w:pStyle w:val="Heading2"/>
      </w:pPr>
      <w:r>
        <w:t xml:space="preserve">Translating Complexity into Clarity</w:t>
      </w:r>
    </w:p>
    <w:p>
      <w:pPr>
        <w:spacing w:after="120"/>
      </w:pPr>
      <w:r>
        <w:t xml:space="preserve">One of the most valuable skills in instructional design is the ability to take complex subject matter and make it accessible. I mentor designers to:</w:t>
      </w:r>
    </w:p>
    <w:p>
      <w:pPr>
        <w:pStyle w:val="ListParagraph"/>
        <w:numPr>
          <w:ilvl w:val="0"/>
          <w:numId w:val="3"/>
        </w:numPr>
      </w:pPr>
      <w:r>
        <w:t xml:space="preserve">Ask the right questions of subject matter experts</w:t>
      </w:r>
    </w:p>
    <w:p>
      <w:pPr>
        <w:pStyle w:val="ListParagraph"/>
        <w:numPr>
          <w:ilvl w:val="0"/>
          <w:numId w:val="3"/>
        </w:numPr>
      </w:pPr>
      <w:r>
        <w:t xml:space="preserve">Identify the essential concepts versus nice-to-know information</w:t>
      </w:r>
    </w:p>
    <w:p>
      <w:pPr>
        <w:pStyle w:val="ListParagraph"/>
        <w:numPr>
          <w:ilvl w:val="0"/>
          <w:numId w:val="3"/>
        </w:numPr>
      </w:pPr>
      <w:r>
        <w:t xml:space="preserve">Use analogies, examples, and scaffolding to build understanding</w:t>
      </w:r>
    </w:p>
    <w:p>
      <w:pPr>
        <w:pStyle w:val="ListParagraph"/>
        <w:numPr>
          <w:ilvl w:val="0"/>
          <w:numId w:val="3"/>
        </w:numPr>
      </w:pPr>
      <w:r>
        <w:t xml:space="preserve">Test materials with representative learners before finalizing</w:t>
      </w:r>
    </w:p>
    <w:p>
      <w:pPr>
        <w:pStyle w:val="ListParagraph"/>
        <w:numPr>
          <w:ilvl w:val="0"/>
          <w:numId w:val="3"/>
        </w:numPr>
        <w:spacing w:after="180"/>
      </w:pPr>
      <w:r>
        <w:t xml:space="preserve">Balance comprehensiveness with cognitive load considerations</w:t>
      </w:r>
    </w:p>
    <w:p>
      <w:pPr>
        <w:pStyle w:val="Heading2"/>
      </w:pPr>
      <w:r>
        <w:t xml:space="preserve">Professional Growth and Career Development</w:t>
      </w:r>
    </w:p>
    <w:p>
      <w:pPr>
        <w:spacing w:after="120"/>
      </w:pPr>
      <w:r>
        <w:t xml:space="preserve">Each designer has unique career aspirations. Through regular one-on-one meetings, I help team members:</w:t>
      </w:r>
    </w:p>
    <w:p>
      <w:pPr>
        <w:pStyle w:val="ListParagraph"/>
        <w:numPr>
          <w:ilvl w:val="0"/>
          <w:numId w:val="3"/>
        </w:numPr>
      </w:pPr>
      <w:r>
        <w:t xml:space="preserve">Identify long-term career goals and create actionable plans</w:t>
      </w:r>
    </w:p>
    <w:p>
      <w:pPr>
        <w:pStyle w:val="ListParagraph"/>
        <w:numPr>
          <w:ilvl w:val="0"/>
          <w:numId w:val="3"/>
        </w:numPr>
      </w:pPr>
      <w:r>
        <w:t xml:space="preserve">Pursue relevant certifications and continuing education opportunities</w:t>
      </w:r>
    </w:p>
    <w:p>
      <w:pPr>
        <w:pStyle w:val="ListParagraph"/>
        <w:numPr>
          <w:ilvl w:val="0"/>
          <w:numId w:val="3"/>
        </w:numPr>
      </w:pPr>
      <w:r>
        <w:t xml:space="preserve">Build portfolios that showcase their best work and unique strengths</w:t>
      </w:r>
    </w:p>
    <w:p>
      <w:pPr>
        <w:pStyle w:val="ListParagraph"/>
        <w:numPr>
          <w:ilvl w:val="0"/>
          <w:numId w:val="3"/>
        </w:numPr>
      </w:pPr>
      <w:r>
        <w:t xml:space="preserve">Develop presentation and thought leadership skills through conferences</w:t>
      </w:r>
    </w:p>
    <w:p>
      <w:pPr>
        <w:pStyle w:val="ListParagraph"/>
        <w:numPr>
          <w:ilvl w:val="0"/>
          <w:numId w:val="3"/>
        </w:numPr>
        <w:spacing w:after="240"/>
      </w:pPr>
      <w:r>
        <w:t xml:space="preserve">Take on stretch assignments that prepare them for advancement</w:t>
      </w:r>
    </w:p>
    <w:p>
      <w:r>
        <w:br w:type="page"/>
      </w:r>
    </w:p>
    <w:p>
      <w:pPr>
        <w:pStyle w:val="Heading1"/>
      </w:pPr>
      <w:r>
        <w:t xml:space="preserve">Quality Assurance Framework</w:t>
      </w:r>
    </w:p>
    <w:p>
      <w:pPr>
        <w:spacing w:after="180"/>
      </w:pPr>
      <w:r>
        <w:t xml:space="preserve">Quality assurance is built on a three-tier review process that ensures excellence while developing designers' critical evaluation skills. Each tier serves a distinct purpose and uses customized criteria.</w:t>
      </w:r>
    </w:p>
    <w:p>
      <w:pPr>
        <w:pStyle w:val="Heading2"/>
      </w:pPr>
      <w:r>
        <w:t xml:space="preserve">Tier 1: Designer Self-Review</w:t>
      </w:r>
    </w:p>
    <w:p>
      <w:pPr>
        <w:spacing w:after="120"/>
      </w:pPr>
      <w:r>
        <w:t xml:space="preserve">Before any work is shared, designers conduct a comprehensive self-review using this checklist. This develops critical thinking and reduces errors that reach peer review.</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00"/>
          <w:left w:type="dxa" w:w="180"/>
          <w:bottom w:type="dxa" w:w="100"/>
          <w:right w:type="dxa" w:w="180"/>
        </w:tblCellMar>
      </w:tblPr>
      <w:tblGrid>
        <w:gridCol w:w="9360"/>
      </w:tblGrid>
      <w:tr>
        <w:trPr>
          <w:tblHeader/>
        </w:trPr>
        <w:tc>
          <w:tcPr>
            <w:tcW w:type="dxa" w:w="9360"/>
            <w:tcBorders>
              <w:top w:val="single" w:color="CCCCCC" w:sz="1"/>
              <w:left w:val="single" w:color="CCCCCC" w:sz="1"/>
              <w:bottom w:val="single" w:color="CCCCCC" w:sz="1"/>
              <w:right w:val="single" w:color="CCCCCC" w:sz="1"/>
            </w:tcBorders>
            <w:shd w:fill="2C3E50" w:val="clear"/>
          </w:tcPr>
          <w:p>
            <w:pPr>
              <w:jc w:val="center"/>
            </w:pPr>
            <w:r>
              <w:rPr>
                <w:b/>
                <w:bCs/>
                <w:color w:val="FFFFFF"/>
                <w:sz w:val="26"/>
                <w:szCs w:val="26"/>
              </w:rPr>
              <w:t xml:space="preserve">Self-Review Quality Assurance Checklist</w:t>
            </w:r>
          </w:p>
        </w:tc>
      </w:tr>
      <w:tr>
        <w:tc>
          <w:tcPr>
            <w:tcW w:type="dxa" w:w="9360"/>
            <w:tcBorders>
              <w:top w:val="single" w:color="CCCCCC" w:sz="1"/>
              <w:left w:val="single" w:color="CCCCCC" w:sz="1"/>
              <w:bottom w:val="single" w:color="CCCCCC" w:sz="1"/>
              <w:right w:val="single" w:color="CCCCCC" w:sz="1"/>
            </w:tcBorders>
            <w:shd w:fill="ECF0F1" w:val="clear"/>
          </w:tcPr>
          <w:p>
            <w:r>
              <w:rPr>
                <w:b/>
                <w:bCs/>
                <w:sz w:val="24"/>
                <w:szCs w:val="24"/>
              </w:rPr>
              <w:t xml:space="preserve">Content Accuracy</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All factual information has been verified with subject matter experts</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Learning objectives align with organizational goals and learner needs</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Content is current and reflects latest industry standards or regulations</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Examples and scenarios are relevant to target audience</w:t>
            </w:r>
          </w:p>
        </w:tc>
      </w:tr>
      <w:tr>
        <w:tc>
          <w:tcPr>
            <w:tcW w:type="dxa" w:w="9360"/>
            <w:tcBorders>
              <w:top w:val="single" w:color="CCCCCC" w:sz="1"/>
              <w:left w:val="single" w:color="CCCCCC" w:sz="1"/>
              <w:bottom w:val="single" w:color="CCCCCC" w:sz="1"/>
              <w:right w:val="single" w:color="CCCCCC" w:sz="1"/>
            </w:tcBorders>
            <w:shd w:fill="ECF0F1" w:val="clear"/>
          </w:tcPr>
          <w:p>
            <w:r>
              <w:rPr>
                <w:b/>
                <w:bCs/>
                <w:sz w:val="24"/>
                <w:szCs w:val="24"/>
              </w:rPr>
              <w:t xml:space="preserve">Instructional Design</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Learning activities align with stated objectives (constructive alignment)</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Content is appropriately chunked for cognitive load management</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Assessment items measure stated learning objectives</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Navigation is intuitive and consistent throughout module</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Multimedia elements support learning rather than decorating</w:t>
            </w:r>
          </w:p>
        </w:tc>
      </w:tr>
      <w:tr>
        <w:tc>
          <w:tcPr>
            <w:tcW w:type="dxa" w:w="9360"/>
            <w:tcBorders>
              <w:top w:val="single" w:color="CCCCCC" w:sz="1"/>
              <w:left w:val="single" w:color="CCCCCC" w:sz="1"/>
              <w:bottom w:val="single" w:color="CCCCCC" w:sz="1"/>
              <w:right w:val="single" w:color="CCCCCC" w:sz="1"/>
            </w:tcBorders>
            <w:shd w:fill="ECF0F1" w:val="clear"/>
          </w:tcPr>
          <w:p>
            <w:r>
              <w:rPr>
                <w:b/>
                <w:bCs/>
                <w:sz w:val="24"/>
                <w:szCs w:val="24"/>
              </w:rPr>
              <w:t xml:space="preserve">Technical Quality</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All links and buttons function correctly</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Media files load properly and are optimized for web delivery</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Course displays correctly across devices (desktop, tablet, mobile)</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No spelling, grammar, or punctuation errors present</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Formatting is consistent (fonts, colors, spacing)</w:t>
            </w:r>
          </w:p>
        </w:tc>
      </w:tr>
      <w:tr>
        <w:tc>
          <w:tcPr>
            <w:tcW w:type="dxa" w:w="9360"/>
            <w:tcBorders>
              <w:top w:val="single" w:color="CCCCCC" w:sz="1"/>
              <w:left w:val="single" w:color="CCCCCC" w:sz="1"/>
              <w:bottom w:val="single" w:color="CCCCCC" w:sz="1"/>
              <w:right w:val="single" w:color="CCCCCC" w:sz="1"/>
            </w:tcBorders>
            <w:shd w:fill="ECF0F1" w:val="clear"/>
          </w:tcPr>
          <w:p>
            <w:r>
              <w:rPr>
                <w:b/>
                <w:bCs/>
                <w:sz w:val="24"/>
                <w:szCs w:val="24"/>
              </w:rPr>
              <w:t xml:space="preserve">Accessibility</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Alternative text provided for all images and graphics</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Color contrast meets WCAG 2.1 AA standards</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All interactive elements are keyboard accessible</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Closed captions included for video content</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Document structure uses proper heading hierarchy</w:t>
            </w:r>
          </w:p>
        </w:tc>
      </w:tr>
      <w:tr>
        <w:tc>
          <w:tcPr>
            <w:tcW w:type="dxa" w:w="9360"/>
            <w:tcBorders>
              <w:top w:val="single" w:color="CCCCCC" w:sz="1"/>
              <w:left w:val="single" w:color="CCCCCC" w:sz="1"/>
              <w:bottom w:val="single" w:color="CCCCCC" w:sz="1"/>
              <w:right w:val="single" w:color="CCCCCC" w:sz="1"/>
            </w:tcBorders>
            <w:shd w:fill="ECF0F1" w:val="clear"/>
          </w:tcPr>
          <w:p>
            <w:r>
              <w:rPr>
                <w:b/>
                <w:bCs/>
                <w:sz w:val="24"/>
                <w:szCs w:val="24"/>
              </w:rPr>
              <w:t xml:space="preserve">Professional Standards</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Branding guidelines followed (logos, colors, terminology)</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Tone and language appropriate for audience</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Legal disclaimers or required statements included where needed</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Copyright and attribution for third-party content provided</w:t>
            </w:r>
          </w:p>
        </w:tc>
      </w:tr>
    </w:tbl>
    <w:p>
      <w:pPr>
        <w:spacing w:before="240"/>
      </w:pPr>
      <w:r>
        <w:br w:type="page"/>
      </w:r>
    </w:p>
    <w:p>
      <w:pPr>
        <w:pStyle w:val="Heading2"/>
      </w:pPr>
      <w:r>
        <w:t xml:space="preserve">Tier 2: Peer Review</w:t>
      </w:r>
    </w:p>
    <w:p>
      <w:pPr>
        <w:spacing w:after="120"/>
      </w:pPr>
      <w:r>
        <w:t xml:space="preserve">A fellow designer reviews the work with fresh eyes, focusing on learner experience and design effectiveness. Peer review builds collaborative skills and cross-training.</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00"/>
          <w:left w:type="dxa" w:w="180"/>
          <w:bottom w:type="dxa" w:w="100"/>
          <w:right w:type="dxa" w:w="180"/>
        </w:tblCellMar>
      </w:tblPr>
      <w:tblGrid>
        <w:gridCol w:w="9360"/>
      </w:tblGrid>
      <w:tr>
        <w:trPr>
          <w:tblHeader/>
        </w:trPr>
        <w:tc>
          <w:tcPr>
            <w:tcW w:type="dxa" w:w="9360"/>
            <w:tcBorders>
              <w:top w:val="single" w:color="CCCCCC" w:sz="1"/>
              <w:left w:val="single" w:color="CCCCCC" w:sz="1"/>
              <w:bottom w:val="single" w:color="CCCCCC" w:sz="1"/>
              <w:right w:val="single" w:color="CCCCCC" w:sz="1"/>
            </w:tcBorders>
            <w:shd w:fill="2C3E50" w:val="clear"/>
          </w:tcPr>
          <w:p>
            <w:pPr>
              <w:jc w:val="center"/>
            </w:pPr>
            <w:r>
              <w:rPr>
                <w:b/>
                <w:bCs/>
                <w:color w:val="FFFFFF"/>
                <w:sz w:val="26"/>
                <w:szCs w:val="26"/>
              </w:rPr>
              <w:t xml:space="preserve">Peer Review Quality Assurance Checklist</w:t>
            </w:r>
          </w:p>
        </w:tc>
      </w:tr>
      <w:tr>
        <w:tc>
          <w:tcPr>
            <w:tcW w:type="dxa" w:w="9360"/>
            <w:tcBorders>
              <w:top w:val="single" w:color="CCCCCC" w:sz="1"/>
              <w:left w:val="single" w:color="CCCCCC" w:sz="1"/>
              <w:bottom w:val="single" w:color="CCCCCC" w:sz="1"/>
              <w:right w:val="single" w:color="CCCCCC" w:sz="1"/>
            </w:tcBorders>
            <w:shd w:fill="ECF0F1" w:val="clear"/>
          </w:tcPr>
          <w:p>
            <w:r>
              <w:rPr>
                <w:b/>
                <w:bCs/>
                <w:sz w:val="24"/>
                <w:szCs w:val="24"/>
              </w:rPr>
              <w:t xml:space="preserve">Learner Experience</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Content is engaging and maintains learner interest</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Instructions are clear and unambiguous</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Pacing feels appropriate (not too fast or slow)</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Feedback on assessments is constructive and helpful</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Course flow feels natural and logical</w:t>
            </w:r>
          </w:p>
        </w:tc>
      </w:tr>
      <w:tr>
        <w:tc>
          <w:tcPr>
            <w:tcW w:type="dxa" w:w="9360"/>
            <w:tcBorders>
              <w:top w:val="single" w:color="CCCCCC" w:sz="1"/>
              <w:left w:val="single" w:color="CCCCCC" w:sz="1"/>
              <w:bottom w:val="single" w:color="CCCCCC" w:sz="1"/>
              <w:right w:val="single" w:color="CCCCCC" w:sz="1"/>
            </w:tcBorders>
            <w:shd w:fill="ECF0F1" w:val="clear"/>
          </w:tcPr>
          <w:p>
            <w:r>
              <w:rPr>
                <w:b/>
                <w:bCs/>
                <w:sz w:val="24"/>
                <w:szCs w:val="24"/>
              </w:rPr>
              <w:t xml:space="preserve">Design Effectiveness</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Visual hierarchy guides attention to key information</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White space used effectively to reduce cognitive overwhelm</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Interactive elements enhance rather than distract from learning</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Metaphors and analogies aid understanding of complex concepts</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Content organization supports mental model building</w:t>
            </w:r>
          </w:p>
        </w:tc>
      </w:tr>
      <w:tr>
        <w:tc>
          <w:tcPr>
            <w:tcW w:type="dxa" w:w="9360"/>
            <w:tcBorders>
              <w:top w:val="single" w:color="CCCCCC" w:sz="1"/>
              <w:left w:val="single" w:color="CCCCCC" w:sz="1"/>
              <w:bottom w:val="single" w:color="CCCCCC" w:sz="1"/>
              <w:right w:val="single" w:color="CCCCCC" w:sz="1"/>
            </w:tcBorders>
            <w:shd w:fill="ECF0F1" w:val="clear"/>
          </w:tcPr>
          <w:p>
            <w:r>
              <w:rPr>
                <w:b/>
                <w:bCs/>
                <w:sz w:val="24"/>
                <w:szCs w:val="24"/>
              </w:rPr>
              <w:t xml:space="preserve">Consistency &amp; Standards</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Design patterns consistent with organization's style guide</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Terminology used consistently throughout</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Assessment difficulty appropriate for content complexity</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Time estimates realistic for average learner</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Navigation matches established organizational standards</w:t>
            </w:r>
          </w:p>
        </w:tc>
      </w:tr>
      <w:tr>
        <w:tc>
          <w:tcPr>
            <w:tcW w:type="dxa" w:w="9360"/>
            <w:tcBorders>
              <w:top w:val="single" w:color="CCCCCC" w:sz="1"/>
              <w:left w:val="single" w:color="CCCCCC" w:sz="1"/>
              <w:bottom w:val="single" w:color="CCCCCC" w:sz="1"/>
              <w:right w:val="single" w:color="CCCCCC" w:sz="1"/>
            </w:tcBorders>
            <w:shd w:fill="ECF0F1" w:val="clear"/>
          </w:tcPr>
          <w:p>
            <w:r>
              <w:rPr>
                <w:b/>
                <w:bCs/>
                <w:sz w:val="24"/>
                <w:szCs w:val="24"/>
              </w:rPr>
              <w:t xml:space="preserve">Technical Polish</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No broken links or missing media found during review</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Animations and transitions smooth and purposeful</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Load times acceptable across different connection speeds</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Course functions properly in all supported browsers/devices</w:t>
            </w:r>
          </w:p>
        </w:tc>
      </w:tr>
    </w:tbl>
    <w:p>
      <w:pPr>
        <w:spacing w:before="240"/>
      </w:pPr>
      <w:r>
        <w:br w:type="page"/>
      </w:r>
    </w:p>
    <w:p>
      <w:pPr>
        <w:pStyle w:val="Heading2"/>
      </w:pPr>
      <w:r>
        <w:t xml:space="preserve">Tier 3: Leadership Review</w:t>
      </w:r>
    </w:p>
    <w:p>
      <w:pPr>
        <w:spacing w:after="120"/>
      </w:pPr>
      <w:r>
        <w:t xml:space="preserve">As the final quality gate, I review work with a strategic lens, ensuring alignment with organizational goals and professional standards. This review also identifies coaching opportunities for the designer.</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00"/>
          <w:left w:type="dxa" w:w="180"/>
          <w:bottom w:type="dxa" w:w="100"/>
          <w:right w:type="dxa" w:w="180"/>
        </w:tblCellMar>
      </w:tblPr>
      <w:tblGrid>
        <w:gridCol w:w="9360"/>
      </w:tblGrid>
      <w:tr>
        <w:trPr>
          <w:tblHeader/>
        </w:trPr>
        <w:tc>
          <w:tcPr>
            <w:tcW w:type="dxa" w:w="9360"/>
            <w:tcBorders>
              <w:top w:val="single" w:color="CCCCCC" w:sz="1"/>
              <w:left w:val="single" w:color="CCCCCC" w:sz="1"/>
              <w:bottom w:val="single" w:color="CCCCCC" w:sz="1"/>
              <w:right w:val="single" w:color="CCCCCC" w:sz="1"/>
            </w:tcBorders>
            <w:shd w:fill="2C3E50" w:val="clear"/>
          </w:tcPr>
          <w:p>
            <w:pPr>
              <w:jc w:val="center"/>
            </w:pPr>
            <w:r>
              <w:rPr>
                <w:b/>
                <w:bCs/>
                <w:color w:val="FFFFFF"/>
                <w:sz w:val="26"/>
                <w:szCs w:val="26"/>
              </w:rPr>
              <w:t xml:space="preserve">Leadership Review Quality Assurance Checklist</w:t>
            </w:r>
          </w:p>
        </w:tc>
      </w:tr>
      <w:tr>
        <w:tc>
          <w:tcPr>
            <w:tcW w:type="dxa" w:w="9360"/>
            <w:tcBorders>
              <w:top w:val="single" w:color="CCCCCC" w:sz="1"/>
              <w:left w:val="single" w:color="CCCCCC" w:sz="1"/>
              <w:bottom w:val="single" w:color="CCCCCC" w:sz="1"/>
              <w:right w:val="single" w:color="CCCCCC" w:sz="1"/>
            </w:tcBorders>
            <w:shd w:fill="ECF0F1" w:val="clear"/>
          </w:tcPr>
          <w:p>
            <w:r>
              <w:rPr>
                <w:b/>
                <w:bCs/>
                <w:sz w:val="24"/>
                <w:szCs w:val="24"/>
              </w:rPr>
              <w:t xml:space="preserve">Strategic Alignment</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Content supports organizational strategic priorities</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Design approach aligns with organizational learning culture</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Project deliverable meets stakeholder expectations set in kickoff</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Learning solution addresses root performance problem identified</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Content positions organization as thought leader in field</w:t>
            </w:r>
          </w:p>
        </w:tc>
      </w:tr>
      <w:tr>
        <w:tc>
          <w:tcPr>
            <w:tcW w:type="dxa" w:w="9360"/>
            <w:tcBorders>
              <w:top w:val="single" w:color="CCCCCC" w:sz="1"/>
              <w:left w:val="single" w:color="CCCCCC" w:sz="1"/>
              <w:bottom w:val="single" w:color="CCCCCC" w:sz="1"/>
              <w:right w:val="single" w:color="CCCCCC" w:sz="1"/>
            </w:tcBorders>
            <w:shd w:fill="ECF0F1" w:val="clear"/>
          </w:tcPr>
          <w:p>
            <w:r>
              <w:rPr>
                <w:b/>
                <w:bCs/>
                <w:sz w:val="24"/>
                <w:szCs w:val="24"/>
              </w:rPr>
              <w:t xml:space="preserve">Professional Excellence</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Work meets or exceeds industry best practices</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Design demonstrates innovation and creative problem-solving</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Solution is scalable and maintainable long-term</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Documentation sufficient for future updates or revisions</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Designer applied feedback from previous projects</w:t>
            </w:r>
          </w:p>
        </w:tc>
      </w:tr>
      <w:tr>
        <w:tc>
          <w:tcPr>
            <w:tcW w:type="dxa" w:w="9360"/>
            <w:tcBorders>
              <w:top w:val="single" w:color="CCCCCC" w:sz="1"/>
              <w:left w:val="single" w:color="CCCCCC" w:sz="1"/>
              <w:bottom w:val="single" w:color="CCCCCC" w:sz="1"/>
              <w:right w:val="single" w:color="CCCCCC" w:sz="1"/>
            </w:tcBorders>
            <w:shd w:fill="ECF0F1" w:val="clear"/>
          </w:tcPr>
          <w:p>
            <w:r>
              <w:rPr>
                <w:b/>
                <w:bCs/>
                <w:sz w:val="24"/>
                <w:szCs w:val="24"/>
              </w:rPr>
              <w:t xml:space="preserve">Client/Stakeholder Readiness</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All agreed-upon deliverables present and complete</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Work ready for presentation to client or leadership</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Project documentation complete (design docs, source files)</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Handoff materials prepared if transitioning to another team</w:t>
            </w:r>
          </w:p>
        </w:tc>
      </w:tr>
      <w:tr>
        <w:tc>
          <w:tcPr>
            <w:tcW w:type="dxa" w:w="9360"/>
            <w:tcBorders>
              <w:top w:val="single" w:color="CCCCCC" w:sz="1"/>
              <w:left w:val="single" w:color="CCCCCC" w:sz="1"/>
              <w:bottom w:val="single" w:color="CCCCCC" w:sz="1"/>
              <w:right w:val="single" w:color="CCCCCC" w:sz="1"/>
            </w:tcBorders>
            <w:shd w:fill="ECF0F1" w:val="clear"/>
          </w:tcPr>
          <w:p>
            <w:r>
              <w:rPr>
                <w:b/>
                <w:bCs/>
                <w:sz w:val="24"/>
                <w:szCs w:val="24"/>
              </w:rPr>
              <w:t xml:space="preserve">Team Development</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Designer demonstrated growth in identified development areas</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Work showcases designer's unique strengths and voice</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Identify coaching opportunities for next project</w:t>
            </w:r>
          </w:p>
        </w:tc>
      </w:tr>
      <w:tr>
        <w:tc>
          <w:tcPr>
            <w:tcW w:type="dxa" w:w="9360"/>
            <w:tcBorders>
              <w:top w:val="single" w:color="CCCCCC" w:sz="1"/>
              <w:left w:val="single" w:color="CCCCCC" w:sz="1"/>
              <w:bottom w:val="single" w:color="CCCCCC" w:sz="1"/>
              <w:right w:val="single" w:color="CCCCCC" w:sz="1"/>
            </w:tcBorders>
          </w:tcPr>
          <w:p>
            <w:r>
              <w:rPr>
                <w:sz w:val="24"/>
                <w:szCs w:val="24"/>
              </w:rPr>
              <w:t xml:space="preserve">☐  </w:t>
            </w:r>
            <w:r>
              <w:rPr>
                <w:sz w:val="22"/>
                <w:szCs w:val="22"/>
              </w:rPr>
              <w:t xml:space="preserve">Recognize exemplary work for team sharing/best practices</w:t>
            </w:r>
          </w:p>
        </w:tc>
      </w:tr>
    </w:tbl>
    <w:p>
      <w:pPr>
        <w:spacing w:before="360" w:after="180"/>
      </w:pPr>
      <w:r>
        <w:rPr>
          <w:b/>
          <w:bCs/>
          <w:i/>
          <w:iCs/>
        </w:rPr>
        <w:t xml:space="preserve">Implementation Notes:</w:t>
      </w:r>
    </w:p>
    <w:p>
      <w:pPr>
        <w:pStyle w:val="ListParagraph"/>
        <w:numPr>
          <w:ilvl w:val="0"/>
          <w:numId w:val="3"/>
        </w:numPr>
      </w:pPr>
      <w:r>
        <w:t xml:space="preserve">Each tier typically requires 30-60 minutes of focused review time</w:t>
      </w:r>
    </w:p>
    <w:p>
      <w:pPr>
        <w:pStyle w:val="ListParagraph"/>
        <w:numPr>
          <w:ilvl w:val="0"/>
          <w:numId w:val="3"/>
        </w:numPr>
      </w:pPr>
      <w:r>
        <w:t xml:space="preserve">Reviewers document findings in project management system with screenshots</w:t>
      </w:r>
    </w:p>
    <w:p>
      <w:pPr>
        <w:pStyle w:val="ListParagraph"/>
        <w:numPr>
          <w:ilvl w:val="0"/>
          <w:numId w:val="3"/>
        </w:numPr>
      </w:pPr>
      <w:r>
        <w:t xml:space="preserve">Designers address feedback and resubmit for confirmation review</w:t>
      </w:r>
    </w:p>
    <w:p>
      <w:pPr>
        <w:pStyle w:val="ListParagraph"/>
        <w:numPr>
          <w:ilvl w:val="0"/>
          <w:numId w:val="3"/>
        </w:numPr>
      </w:pPr>
      <w:r>
        <w:t xml:space="preserve">Common issues identified in QA inform team training and process improvements</w:t>
      </w:r>
    </w:p>
    <w:p>
      <w:pPr>
        <w:pStyle w:val="ListParagraph"/>
        <w:numPr>
          <w:ilvl w:val="0"/>
          <w:numId w:val="3"/>
        </w:numPr>
        <w:spacing w:after="240"/>
      </w:pPr>
      <w:r>
        <w:t xml:space="preserve">Exemplary work is shared in team meetings as learning opportunities</w:t>
      </w:r>
    </w:p>
    <w:p>
      <w:pPr>
        <w:pStyle w:val="Heading1"/>
      </w:pPr>
      <w:r>
        <w:t xml:space="preserve">Conclusion</w:t>
      </w:r>
    </w:p>
    <w:p>
      <w:pPr>
        <w:spacing w:after="180"/>
      </w:pPr>
      <w:r>
        <w:t xml:space="preserve">Building an exceptional instructional design team requires more than hiring talented individuals. It demands a deliberate, systematic approach to developing people's capabilities, fostering a culture of continuous learning, and maintaining rigorous quality standards. This framework represents my commitment to these principles and my belief that when we invest in our people, they create extraordinary learning experiences that transform organizations and learners alike.</w:t>
      </w:r>
    </w:p>
    <w:p>
      <w:pPr>
        <w:spacing w:after="180"/>
      </w:pPr>
      <w:r>
        <w:t xml:space="preserve">The tools and processes outlined in this document are not static. As our field evolves and new technologies emerge, this framework adapts. But the core philosophy remains constant: great instructional design comes from great instructional designers who are supported, challenged, and empowered to do their best work.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240" w:after="120"/>
      <w:jc w:val="center"/>
    </w:pPr>
    <w:rPr>
      <w:rFonts w:ascii="Arial" w:cs="Arial" w:eastAsia="Arial" w:hAnsi="Arial"/>
      <w:b/>
      <w:bCs/>
      <w:color w:val="2C3E50"/>
      <w:sz w:val="56"/>
      <w:szCs w:val="56"/>
    </w:rPr>
  </w:style>
  <w:style w:type="paragraph" w:styleId="Heading1">
    <w:name w:val="Heading 1"/>
    <w:basedOn w:val="Normal"/>
    <w:next w:val="Normal"/>
    <w:qFormat/>
    <w:pPr>
      <w:spacing w:before="360" w:after="180"/>
      <w:outlineLvl w:val="0"/>
    </w:pPr>
    <w:rPr>
      <w:rFonts w:ascii="Arial" w:cs="Arial" w:eastAsia="Arial" w:hAnsi="Arial"/>
      <w:b/>
      <w:bCs/>
      <w:color w:val="2C3E50"/>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34495E"/>
      <w:sz w:val="28"/>
      <w:szCs w:val="28"/>
    </w:rPr>
  </w:style>
  <w:style w:type="paragraph" w:styleId="Subtitle">
    <w:name w:val="Subtitle"/>
    <w:basedOn w:val="Normal"/>
    <w:pPr>
      <w:spacing w:after="240"/>
      <w:jc w:val="center"/>
    </w:pPr>
    <w:rPr>
      <w:rFonts w:ascii="Arial" w:cs="Arial" w:eastAsia="Arial" w:hAnsi="Arial"/>
      <w:i/>
      <w:iCs/>
      <w:color w:val="7F8C8D"/>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2025-11-10T16:28:50.273Z</dcterms:created>
  <dcterms:modified xsi:type="dcterms:W3CDTF">2025-11-10T16:28:50.273Z</dcterms:modified>
</cp:coreProperties>
</file>

<file path=docProps/custom.xml><?xml version="1.0" encoding="utf-8"?>
<Properties xmlns="http://schemas.openxmlformats.org/officeDocument/2006/custom-properties" xmlns:vt="http://schemas.openxmlformats.org/officeDocument/2006/docPropsVTypes"/>
</file>